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1"/>
        <w:spacing w:after="0" w:line="240" w:lineRule="auto"/>
        <w:ind w:left="0" w:right="0" w:firstLine="0"/>
        <w:jc w:val="center"/>
        <w:rPr>
          <w:kern w:val="0"/>
          <w:sz w:val="42"/>
          <w:szCs w:val="42"/>
          <w:rtl w:val="1"/>
        </w:rPr>
      </w:pPr>
    </w:p>
    <w:p>
      <w:pPr>
        <w:pStyle w:val="Body"/>
        <w:bidi w:val="1"/>
        <w:spacing w:after="0" w:line="240" w:lineRule="auto"/>
        <w:ind w:left="0" w:right="0" w:firstLine="0"/>
        <w:jc w:val="center"/>
        <w:rPr>
          <w:kern w:val="0"/>
          <w:sz w:val="42"/>
          <w:szCs w:val="42"/>
          <w:rtl w:val="1"/>
        </w:rPr>
      </w:pPr>
    </w:p>
    <w:p>
      <w:pPr>
        <w:pStyle w:val="Body"/>
        <w:bidi w:val="1"/>
        <w:spacing w:after="0" w:line="240" w:lineRule="auto"/>
        <w:ind w:left="0" w:right="0" w:firstLine="0"/>
        <w:jc w:val="center"/>
        <w:rPr>
          <w:kern w:val="0"/>
          <w:sz w:val="42"/>
          <w:szCs w:val="42"/>
          <w:rtl w:val="1"/>
          <w:lang w:val="ar-SA" w:bidi="ar-SA"/>
        </w:rPr>
      </w:pPr>
    </w:p>
    <w:p>
      <w:pPr>
        <w:pStyle w:val="Body"/>
        <w:bidi w:val="1"/>
        <w:spacing w:after="0" w:line="240" w:lineRule="auto"/>
        <w:ind w:left="0" w:right="0" w:firstLine="0"/>
        <w:jc w:val="center"/>
        <w:rPr>
          <w:rFonts w:ascii="Traditional Arabic" w:cs="Traditional Arabic" w:hAnsi="Traditional Arabic" w:eastAsia="Traditional Arabic"/>
          <w:b w:val="1"/>
          <w:bCs w:val="1"/>
          <w:kern w:val="0"/>
          <w:sz w:val="44"/>
          <w:szCs w:val="44"/>
          <w:rtl w:val="1"/>
        </w:rPr>
      </w:pPr>
      <w:r>
        <w:rPr>
          <w:rFonts w:ascii="Traditional Arabic" w:cs="Traditional Arabic" w:hAnsi="Traditional Arabic" w:eastAsia="Traditional Arabic" w:hint="cs"/>
          <w:b w:val="1"/>
          <w:bCs w:val="1"/>
          <w:kern w:val="0"/>
          <w:sz w:val="44"/>
          <w:szCs w:val="44"/>
          <w:rtl w:val="1"/>
          <w:lang w:val="ar-SA" w:bidi="ar-SA"/>
        </w:rPr>
        <w:t>عظة البطريرك الكردينال مار بشارة بطرس الراعي</w:t>
      </w:r>
    </w:p>
    <w:p>
      <w:pPr>
        <w:pStyle w:val="Body"/>
        <w:bidi w:val="1"/>
        <w:spacing w:after="0" w:line="240" w:lineRule="auto"/>
        <w:ind w:left="0" w:right="0" w:firstLine="0"/>
        <w:jc w:val="center"/>
        <w:rPr>
          <w:rFonts w:ascii="Traditional Arabic" w:cs="Traditional Arabic" w:hAnsi="Traditional Arabic" w:eastAsia="Traditional Arabic"/>
          <w:b w:val="1"/>
          <w:bCs w:val="1"/>
          <w:kern w:val="0"/>
          <w:sz w:val="44"/>
          <w:szCs w:val="44"/>
          <w:rtl w:val="1"/>
        </w:rPr>
      </w:pPr>
      <w:r>
        <w:rPr>
          <w:rFonts w:ascii="Traditional Arabic" w:cs="Traditional Arabic" w:hAnsi="Traditional Arabic" w:eastAsia="Traditional Arabic" w:hint="cs"/>
          <w:b w:val="1"/>
          <w:bCs w:val="1"/>
          <w:kern w:val="0"/>
          <w:sz w:val="44"/>
          <w:szCs w:val="44"/>
          <w:rtl w:val="1"/>
          <w:lang w:val="ar-SA" w:bidi="ar-SA"/>
        </w:rPr>
        <w:t>الأحد الثاني عشر من زمن العنصرة</w:t>
      </w:r>
    </w:p>
    <w:p>
      <w:pPr>
        <w:pStyle w:val="Body"/>
        <w:bidi w:val="1"/>
        <w:spacing w:after="0" w:line="240" w:lineRule="auto"/>
        <w:ind w:left="0" w:right="0" w:firstLine="0"/>
        <w:jc w:val="center"/>
        <w:rPr>
          <w:rFonts w:ascii="Traditional Arabic" w:cs="Traditional Arabic" w:hAnsi="Traditional Arabic" w:eastAsia="Traditional Arabic"/>
          <w:b w:val="1"/>
          <w:bCs w:val="1"/>
          <w:kern w:val="0"/>
          <w:sz w:val="44"/>
          <w:szCs w:val="44"/>
          <w:rtl w:val="1"/>
        </w:rPr>
      </w:pPr>
      <w:r>
        <w:rPr>
          <w:rFonts w:ascii="Traditional Arabic" w:cs="Traditional Arabic" w:hAnsi="Traditional Arabic" w:eastAsia="Traditional Arabic" w:hint="cs"/>
          <w:b w:val="1"/>
          <w:bCs w:val="1"/>
          <w:kern w:val="0"/>
          <w:sz w:val="44"/>
          <w:szCs w:val="44"/>
          <w:rtl w:val="1"/>
          <w:lang w:val="ar-SA" w:bidi="ar-SA"/>
        </w:rPr>
        <w:t xml:space="preserve">كنيسة القديسين سركيس وباخوس </w:t>
      </w:r>
      <w:r>
        <w:rPr>
          <w:rFonts w:ascii="Traditional Arabic" w:cs="Traditional Arabic" w:hAnsi="Traditional Arabic" w:eastAsia="Traditional Arabic"/>
          <w:b w:val="1"/>
          <w:bCs w:val="1"/>
          <w:kern w:val="0"/>
          <w:sz w:val="44"/>
          <w:szCs w:val="44"/>
          <w:rtl w:val="1"/>
          <w:lang w:val="ar-SA" w:bidi="ar-SA"/>
        </w:rPr>
        <w:t xml:space="preserve">– </w:t>
      </w:r>
      <w:r>
        <w:rPr>
          <w:rFonts w:ascii="Traditional Arabic" w:cs="Traditional Arabic" w:hAnsi="Traditional Arabic" w:eastAsia="Traditional Arabic" w:hint="cs"/>
          <w:b w:val="1"/>
          <w:bCs w:val="1"/>
          <w:kern w:val="0"/>
          <w:sz w:val="44"/>
          <w:szCs w:val="44"/>
          <w:rtl w:val="1"/>
          <w:lang w:val="ar-SA" w:bidi="ar-SA"/>
        </w:rPr>
        <w:t xml:space="preserve">حرف مزيارة، في </w:t>
      </w:r>
      <w:r>
        <w:rPr>
          <w:rFonts w:ascii="Traditional Arabic" w:cs="Traditional Arabic" w:hAnsi="Traditional Arabic" w:eastAsia="Traditional Arabic"/>
          <w:b w:val="1"/>
          <w:bCs w:val="1"/>
          <w:kern w:val="0"/>
          <w:sz w:val="44"/>
          <w:szCs w:val="44"/>
          <w:rtl w:val="1"/>
          <w:lang w:val="ar-SA" w:bidi="ar-SA"/>
        </w:rPr>
        <w:t xml:space="preserve">9 </w:t>
      </w:r>
      <w:r>
        <w:rPr>
          <w:rFonts w:ascii="Traditional Arabic" w:cs="Traditional Arabic" w:hAnsi="Traditional Arabic" w:eastAsia="Traditional Arabic" w:hint="cs"/>
          <w:b w:val="1"/>
          <w:bCs w:val="1"/>
          <w:kern w:val="0"/>
          <w:sz w:val="44"/>
          <w:szCs w:val="44"/>
          <w:rtl w:val="1"/>
          <w:lang w:val="ar-SA" w:bidi="ar-SA"/>
        </w:rPr>
        <w:t xml:space="preserve">آب </w:t>
      </w:r>
      <w:r>
        <w:rPr>
          <w:rFonts w:ascii="Traditional Arabic" w:cs="Traditional Arabic" w:hAnsi="Traditional Arabic" w:eastAsia="Traditional Arabic"/>
          <w:b w:val="1"/>
          <w:bCs w:val="1"/>
          <w:kern w:val="0"/>
          <w:sz w:val="44"/>
          <w:szCs w:val="44"/>
          <w:rtl w:val="1"/>
          <w:lang w:val="ar-SA" w:bidi="ar-SA"/>
        </w:rPr>
        <w:t>2026</w:t>
      </w:r>
    </w:p>
    <w:p>
      <w:pPr>
        <w:pStyle w:val="Body"/>
        <w:bidi w:val="1"/>
        <w:spacing w:after="0" w:line="240" w:lineRule="auto"/>
        <w:ind w:left="0" w:right="0" w:firstLine="0"/>
        <w:jc w:val="center"/>
        <w:rPr>
          <w:rFonts w:ascii="Simplified Arabic" w:cs="Simplified Arabic" w:hAnsi="Simplified Arabic" w:eastAsia="Simplified Arabic"/>
          <w:b w:val="1"/>
          <w:bCs w:val="1"/>
          <w:kern w:val="0"/>
          <w:sz w:val="44"/>
          <w:szCs w:val="44"/>
          <w:rtl w:val="1"/>
        </w:rPr>
      </w:pPr>
      <w:r>
        <w:rPr>
          <w:rFonts w:ascii="Simplified Arabic" w:cs="Simplified Arabic" w:hAnsi="Simplified Arabic" w:eastAsia="Simplified Arabic"/>
          <w:b w:val="1"/>
          <w:bCs w:val="1"/>
          <w:kern w:val="0"/>
          <w:sz w:val="44"/>
          <w:szCs w:val="44"/>
          <w:rtl w:val="0"/>
          <w:lang w:val="en-US"/>
        </w:rPr>
        <w:t>__________________________________________</w:t>
      </w:r>
    </w:p>
    <w:p>
      <w:pPr>
        <w:pStyle w:val="Body"/>
        <w:bidi w:val="1"/>
        <w:spacing w:after="0" w:line="240" w:lineRule="auto"/>
        <w:ind w:left="0" w:right="0" w:firstLine="0"/>
        <w:jc w:val="center"/>
        <w:rPr>
          <w:rFonts w:ascii="Traditional Arabic" w:cs="Traditional Arabic" w:hAnsi="Traditional Arabic" w:eastAsia="Traditional Arabic"/>
          <w:b w:val="1"/>
          <w:bCs w:val="1"/>
          <w:kern w:val="0"/>
          <w:sz w:val="44"/>
          <w:szCs w:val="44"/>
          <w:rtl w:val="1"/>
        </w:rPr>
      </w:pPr>
      <w:r>
        <w:rPr>
          <w:rFonts w:ascii="Traditional Arabic" w:cs="Traditional Arabic" w:hAnsi="Traditional Arabic" w:eastAsia="Traditional Arabic"/>
          <w:b w:val="1"/>
          <w:bCs w:val="1"/>
          <w:kern w:val="0"/>
          <w:sz w:val="44"/>
          <w:szCs w:val="44"/>
          <w:rtl w:val="1"/>
          <w:lang w:val="ar-SA" w:bidi="ar-SA"/>
        </w:rPr>
        <w:t>"</w:t>
      </w:r>
      <w:r>
        <w:rPr>
          <w:rFonts w:ascii="Traditional Arabic" w:cs="Traditional Arabic" w:hAnsi="Traditional Arabic" w:eastAsia="Traditional Arabic" w:hint="cs"/>
          <w:b w:val="1"/>
          <w:bCs w:val="1"/>
          <w:kern w:val="0"/>
          <w:sz w:val="44"/>
          <w:szCs w:val="44"/>
          <w:rtl w:val="1"/>
          <w:lang w:val="ar-SA" w:bidi="ar-SA"/>
        </w:rPr>
        <w:t>عظيمٌ إيمانكِ يا امرأة</w:t>
      </w:r>
      <w:r>
        <w:rPr>
          <w:rFonts w:ascii="Traditional Arabic" w:cs="Traditional Arabic" w:hAnsi="Traditional Arabic" w:eastAsia="Traditional Arabic"/>
          <w:b w:val="1"/>
          <w:bCs w:val="1"/>
          <w:kern w:val="0"/>
          <w:sz w:val="44"/>
          <w:szCs w:val="44"/>
          <w:rtl w:val="1"/>
          <w:lang w:val="ar-SA" w:bidi="ar-SA"/>
        </w:rPr>
        <w:t xml:space="preserve">" </w:t>
      </w:r>
      <w:r>
        <w:rPr>
          <w:rFonts w:ascii="Traditional Arabic" w:cs="Traditional Arabic" w:hAnsi="Traditional Arabic" w:eastAsia="Traditional Arabic"/>
          <w:b w:val="1"/>
          <w:bCs w:val="1"/>
          <w:kern w:val="0"/>
          <w:sz w:val="32"/>
          <w:szCs w:val="32"/>
          <w:rtl w:val="1"/>
          <w:lang w:val="ar-SA" w:bidi="ar-SA"/>
        </w:rPr>
        <w:t>(</w:t>
      </w:r>
      <w:r>
        <w:rPr>
          <w:rFonts w:ascii="Traditional Arabic" w:cs="Traditional Arabic" w:hAnsi="Traditional Arabic" w:eastAsia="Traditional Arabic" w:hint="cs"/>
          <w:b w:val="1"/>
          <w:bCs w:val="1"/>
          <w:kern w:val="0"/>
          <w:sz w:val="32"/>
          <w:szCs w:val="32"/>
          <w:rtl w:val="1"/>
          <w:lang w:val="ar-SA" w:bidi="ar-SA"/>
        </w:rPr>
        <w:t xml:space="preserve">متّى </w:t>
      </w:r>
      <w:r>
        <w:rPr>
          <w:rFonts w:ascii="Traditional Arabic" w:cs="Traditional Arabic" w:hAnsi="Traditional Arabic" w:eastAsia="Traditional Arabic"/>
          <w:b w:val="1"/>
          <w:bCs w:val="1"/>
          <w:kern w:val="0"/>
          <w:sz w:val="32"/>
          <w:szCs w:val="32"/>
          <w:rtl w:val="1"/>
          <w:lang w:val="ar-SA" w:bidi="ar-SA"/>
        </w:rPr>
        <w:t>15: 28)</w:t>
      </w:r>
    </w:p>
    <w:p>
      <w:pPr>
        <w:pStyle w:val="Body"/>
        <w:bidi w:val="1"/>
        <w:spacing w:after="0" w:line="240" w:lineRule="auto"/>
        <w:ind w:left="0" w:right="0" w:firstLine="0"/>
        <w:jc w:val="both"/>
        <w:rPr>
          <w:rFonts w:ascii="Traditional Arabic" w:cs="Traditional Arabic" w:hAnsi="Traditional Arabic" w:eastAsia="Traditional Arabic"/>
          <w:b w:val="1"/>
          <w:bCs w:val="1"/>
          <w:kern w:val="0"/>
          <w:sz w:val="42"/>
          <w:szCs w:val="42"/>
          <w:rtl w:val="1"/>
          <w:lang w:val="en-US"/>
        </w:rPr>
      </w:pPr>
    </w:p>
    <w:p>
      <w:pPr>
        <w:pStyle w:val="Body"/>
        <w:bidi w:val="1"/>
        <w:spacing w:after="0" w:line="240" w:lineRule="auto"/>
        <w:ind w:left="0" w:right="0" w:firstLine="720"/>
        <w:jc w:val="both"/>
        <w:rPr>
          <w:rFonts w:ascii="Traditional Arabic" w:cs="Traditional Arabic" w:hAnsi="Traditional Arabic" w:eastAsia="Traditional Arabic"/>
          <w:outline w:val="0"/>
          <w:color w:val="000000"/>
          <w:kern w:val="0"/>
          <w:sz w:val="32"/>
          <w:szCs w:val="32"/>
          <w:u w:color="000000"/>
          <w:rtl w:val="1"/>
          <w14:textFill>
            <w14:solidFill>
              <w14:srgbClr w14:val="000000"/>
            </w14:solidFill>
          </w14:textFill>
        </w:rPr>
      </w:pPr>
      <w:r>
        <w:rPr>
          <w:rFonts w:ascii="Traditional Arabic" w:cs="Traditional Arabic" w:hAnsi="Traditional Arabic" w:eastAsia="Traditional Arabic"/>
          <w:b w:val="1"/>
          <w:bCs w:val="1"/>
          <w:kern w:val="0"/>
          <w:sz w:val="42"/>
          <w:szCs w:val="42"/>
          <w:rtl w:val="1"/>
          <w:lang w:val="ar-SA" w:bidi="ar-SA"/>
        </w:rPr>
        <w:t xml:space="preserve">1.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امتدح الرب يسوع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إيمان المرأة الكنعانية</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غير اليهودية، الوثنية، التي أعلنت إيمانها بمناداة يسوع</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b w:val="1"/>
          <w:bCs w:val="1"/>
          <w:outline w:val="0"/>
          <w:color w:val="222222"/>
          <w:kern w:val="0"/>
          <w:sz w:val="40"/>
          <w:szCs w:val="40"/>
          <w:u w:color="222222"/>
          <w:rtl w:val="1"/>
          <w:lang w:val="ar-SA" w:bidi="ar-SA"/>
          <w14:textFill>
            <w14:solidFill>
              <w14:srgbClr w14:val="222222"/>
            </w14:solidFill>
          </w14:textFill>
        </w:rPr>
        <w:t>«</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يا ابن داود، ارحمني</w:t>
      </w:r>
      <w:r>
        <w:rPr>
          <w:rFonts w:ascii="Traditional Arabic" w:cs="Traditional Arabic" w:hAnsi="Traditional Arabic" w:eastAsia="Traditional Arabic"/>
          <w:b w:val="1"/>
          <w:bCs w:val="1"/>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إن ابنتي بها شيطان يعذّبها</w:t>
      </w:r>
      <w:r>
        <w:rPr>
          <w:rFonts w:ascii="Traditional Arabic" w:cs="Traditional Arabic" w:hAnsi="Traditional Arabic" w:eastAsia="Traditional Arabic"/>
          <w:b w:val="1"/>
          <w:bCs w:val="1"/>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outline w:val="0"/>
          <w:color w:val="222222"/>
          <w:kern w:val="0"/>
          <w:sz w:val="32"/>
          <w:szCs w:val="32"/>
          <w:u w:color="222222"/>
          <w:rtl w:val="1"/>
          <w:lang w:val="ar-SA" w:bidi="ar-SA"/>
          <w14:textFill>
            <w14:solidFill>
              <w14:srgbClr w14:val="222222"/>
            </w14:solidFill>
          </w14:textFill>
        </w:rPr>
        <w:t>(</w:t>
      </w:r>
      <w:r>
        <w:rPr>
          <w:rFonts w:ascii="Traditional Arabic" w:cs="Traditional Arabic" w:hAnsi="Traditional Arabic" w:eastAsia="Traditional Arabic" w:hint="cs"/>
          <w:outline w:val="0"/>
          <w:color w:val="222222"/>
          <w:kern w:val="0"/>
          <w:sz w:val="32"/>
          <w:szCs w:val="32"/>
          <w:u w:color="222222"/>
          <w:rtl w:val="1"/>
          <w:lang w:val="ar-SA" w:bidi="ar-SA"/>
          <w14:textFill>
            <w14:solidFill>
              <w14:srgbClr w14:val="222222"/>
            </w14:solidFill>
          </w14:textFill>
        </w:rPr>
        <w:t xml:space="preserve">متّى </w:t>
      </w:r>
      <w:r>
        <w:rPr>
          <w:rFonts w:ascii="Traditional Arabic" w:cs="Traditional Arabic" w:hAnsi="Traditional Arabic" w:eastAsia="Traditional Arabic"/>
          <w:outline w:val="0"/>
          <w:color w:val="222222"/>
          <w:kern w:val="0"/>
          <w:sz w:val="32"/>
          <w:szCs w:val="32"/>
          <w:u w:color="222222"/>
          <w:rtl w:val="1"/>
          <w:lang w:val="ar-SA" w:bidi="ar-SA"/>
          <w14:textFill>
            <w14:solidFill>
              <w14:srgbClr w14:val="222222"/>
            </w14:solidFill>
          </w14:textFill>
        </w:rPr>
        <w:t>15: 22)</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نادته باسمه ال</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كتابي</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الذي يعني</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أيها المسيح الآتي، حامل الرحمة الشافية</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هذه المناداة سقطت في قلب يسوع، فأراد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امتحانها</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ثلاثًا</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الأول</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ب</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عدم الاكتراث لصراخها؛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الثاني</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بشكل من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التمييز العنصري؛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الثالث</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الإهانة الشخصية</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و</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هذا ما سنتأمّل فيه في هذه العظة</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w:t>
      </w:r>
    </w:p>
    <w:p>
      <w:pPr>
        <w:pStyle w:val="Body"/>
        <w:bidi w:val="1"/>
        <w:spacing w:after="0" w:line="240" w:lineRule="auto"/>
        <w:ind w:left="0" w:right="0" w:firstLine="720"/>
        <w:jc w:val="both"/>
        <w:rPr>
          <w:rFonts w:ascii="Traditional Arabic" w:cs="Traditional Arabic" w:hAnsi="Traditional Arabic" w:eastAsia="Traditional Arabic"/>
          <w:outline w:val="0"/>
          <w:color w:val="222222"/>
          <w:kern w:val="0"/>
          <w:sz w:val="40"/>
          <w:szCs w:val="40"/>
          <w:u w:color="222222"/>
          <w:rtl w:val="1"/>
          <w14:textFill>
            <w14:solidFill>
              <w14:srgbClr w14:val="222222"/>
            </w14:solidFill>
          </w14:textFill>
        </w:rPr>
      </w:pPr>
      <w:r>
        <w:rPr>
          <w:rFonts w:ascii="Traditional Arabic" w:cs="Traditional Arabic" w:hAnsi="Traditional Arabic" w:eastAsia="Traditional Arabic"/>
          <w:b w:val="1"/>
          <w:bCs w:val="1"/>
          <w:outline w:val="0"/>
          <w:color w:val="222222"/>
          <w:kern w:val="0"/>
          <w:sz w:val="40"/>
          <w:szCs w:val="40"/>
          <w:u w:color="222222"/>
          <w:rtl w:val="1"/>
          <w:lang w:val="ar-SA" w:bidi="ar-SA"/>
          <w14:textFill>
            <w14:solidFill>
              <w14:srgbClr w14:val="222222"/>
            </w14:solidFill>
          </w14:textFill>
        </w:rPr>
        <w:t xml:space="preserve">2.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يسعدني أن أكون معكم يا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أهالي بلدة حرف مزيارة</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الأحبّاء، بمناسبة يوبيل مئة سنة على تأسيس كنيسة القديسَين</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الشهيدين</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سركيس وباخوس </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(1926</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2026).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فأرجو أن يكون اليوبيل مصدر نِعم وبركات عليكم وعلى عائلاتكم</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فأشكركم على هذا الملقى اللطيف والمحب، وأحيّي كل الذين توافدوا من بلدة مزيارة العزيزة وجوارها، وبلدات أخرى</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فيطيب لي</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 xml:space="preserve"> أولا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أن أحيّي سيادة أخينا المطران يوسف سويف، راعي الأبرشية، وأشكره على كلمة الترحيب التي تلطّف بها؛ وأحيّي عزيزنا المونسنيور ماريو ماضي، كاهن الرعية الغيور؛ إنّي أحتفل معكم بهذه الليتورجيا الإلهية، التي أقدّمها على نيّتكم، وعلى نيّة كل من له تعب في تشييد هذه الكنيسة الرعائية، وساحتها ومحتوياتها، ولراحة نفوس الكهنة الذين خدموا الرعية، والمؤمنين الذين تبرّعوا لإنشاء الكنيسة وساحتها ومتحفها وحديقة الكهنة</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 xml:space="preserve">. </w:t>
      </w:r>
      <w:r>
        <w:rPr>
          <w:rFonts w:ascii="Traditional Arabic" w:cs="Traditional Arabic" w:hAnsi="Traditional Arabic" w:eastAsia="Traditional Arabic" w:hint="cs"/>
          <w:outline w:val="0"/>
          <w:color w:val="222222"/>
          <w:kern w:val="0"/>
          <w:sz w:val="40"/>
          <w:szCs w:val="40"/>
          <w:u w:color="222222"/>
          <w:rtl w:val="1"/>
          <w:lang w:val="ar-SA" w:bidi="ar-SA"/>
          <w14:textFill>
            <w14:solidFill>
              <w14:srgbClr w14:val="222222"/>
            </w14:solidFill>
          </w14:textFill>
        </w:rPr>
        <w:t>وإنّي أمتدح إيمانكم وغيرتكم ووحدتكم، وهي رمز وحدة الوطن المنشودة</w:t>
      </w:r>
      <w:r>
        <w:rPr>
          <w:rFonts w:ascii="Traditional Arabic" w:cs="Traditional Arabic" w:hAnsi="Traditional Arabic" w:eastAsia="Traditional Arabic"/>
          <w:outline w:val="0"/>
          <w:color w:val="222222"/>
          <w:kern w:val="0"/>
          <w:sz w:val="40"/>
          <w:szCs w:val="40"/>
          <w:u w:color="222222"/>
          <w:rtl w:val="1"/>
          <w:lang w:val="ar-SA" w:bidi="ar-SA"/>
          <w14:textFill>
            <w14:solidFill>
              <w14:srgbClr w14:val="222222"/>
            </w14:solidFill>
          </w14:textFill>
        </w:rPr>
        <w:t>.</w:t>
      </w:r>
    </w:p>
    <w:p>
      <w:pPr>
        <w:pStyle w:val="Body"/>
        <w:bidi w:val="1"/>
        <w:spacing w:after="0" w:line="240" w:lineRule="auto"/>
        <w:ind w:left="0" w:right="0" w:firstLine="720"/>
        <w:jc w:val="both"/>
        <w:rPr>
          <w:rFonts w:ascii="Traditional Arabic" w:cs="Traditional Arabic" w:hAnsi="Traditional Arabic" w:eastAsia="Traditional Arabic"/>
          <w:kern w:val="0"/>
          <w:sz w:val="40"/>
          <w:szCs w:val="40"/>
          <w:rtl w:val="1"/>
        </w:rPr>
      </w:pPr>
      <w:r>
        <w:rPr>
          <w:rFonts w:ascii="Traditional Arabic" w:cs="Traditional Arabic" w:hAnsi="Traditional Arabic" w:eastAsia="Traditional Arabic"/>
          <w:b w:val="1"/>
          <w:bCs w:val="1"/>
          <w:outline w:val="0"/>
          <w:color w:val="222222"/>
          <w:kern w:val="0"/>
          <w:sz w:val="40"/>
          <w:szCs w:val="40"/>
          <w:u w:color="222222"/>
          <w:rtl w:val="1"/>
          <w:lang w:val="ar-SA" w:bidi="ar-SA"/>
          <w14:textFill>
            <w14:solidFill>
              <w14:srgbClr w14:val="222222"/>
            </w14:solidFill>
          </w14:textFill>
        </w:rPr>
        <w:t xml:space="preserve">3. </w:t>
      </w:r>
      <w:r>
        <w:rPr>
          <w:rFonts w:ascii="Traditional Arabic" w:cs="Traditional Arabic" w:hAnsi="Traditional Arabic" w:eastAsia="Traditional Arabic" w:hint="cs"/>
          <w:b w:val="1"/>
          <w:bCs w:val="1"/>
          <w:outline w:val="0"/>
          <w:color w:val="222222"/>
          <w:kern w:val="0"/>
          <w:sz w:val="40"/>
          <w:szCs w:val="40"/>
          <w:u w:color="222222"/>
          <w:rtl w:val="1"/>
          <w:lang w:val="ar-SA" w:bidi="ar-SA"/>
          <w14:textFill>
            <w14:solidFill>
              <w14:srgbClr w14:val="222222"/>
            </w14:solidFill>
          </w14:textFill>
        </w:rPr>
        <w:t xml:space="preserve">أيتها المرأة </w:t>
      </w:r>
      <w:r>
        <w:rPr>
          <w:rFonts w:ascii="Traditional Arabic" w:cs="Traditional Arabic" w:hAnsi="Traditional Arabic" w:eastAsia="Traditional Arabic"/>
          <w:b w:val="1"/>
          <w:bCs w:val="1"/>
          <w:kern w:val="0"/>
          <w:sz w:val="40"/>
          <w:szCs w:val="40"/>
          <w:rtl w:val="1"/>
          <w:lang w:val="ar-SA" w:bidi="ar-SA"/>
        </w:rPr>
        <w:t>"</w:t>
      </w:r>
      <w:r>
        <w:rPr>
          <w:rFonts w:ascii="Traditional Arabic" w:cs="Traditional Arabic" w:hAnsi="Traditional Arabic" w:eastAsia="Traditional Arabic" w:hint="cs"/>
          <w:b w:val="1"/>
          <w:bCs w:val="1"/>
          <w:kern w:val="0"/>
          <w:sz w:val="40"/>
          <w:szCs w:val="40"/>
          <w:rtl w:val="1"/>
          <w:lang w:val="ar-SA" w:bidi="ar-SA"/>
        </w:rPr>
        <w:t>عظيمٌ إيمانكِ يا امرأة</w:t>
      </w:r>
      <w:r>
        <w:rPr>
          <w:rFonts w:ascii="Traditional Arabic" w:cs="Traditional Arabic" w:hAnsi="Traditional Arabic" w:eastAsia="Traditional Arabic"/>
          <w:b w:val="1"/>
          <w:bCs w:val="1"/>
          <w:kern w:val="0"/>
          <w:sz w:val="40"/>
          <w:szCs w:val="40"/>
          <w:rtl w:val="1"/>
          <w:lang w:val="ar-SA" w:bidi="ar-SA"/>
        </w:rPr>
        <w:t xml:space="preserve">" </w:t>
      </w:r>
      <w:r>
        <w:rPr>
          <w:rFonts w:ascii="Traditional Arabic" w:cs="Traditional Arabic" w:hAnsi="Traditional Arabic" w:eastAsia="Traditional Arabic"/>
          <w:kern w:val="0"/>
          <w:sz w:val="32"/>
          <w:szCs w:val="32"/>
          <w:rtl w:val="1"/>
          <w:lang w:val="ar-SA" w:bidi="ar-SA"/>
        </w:rPr>
        <w:t>(</w:t>
      </w:r>
      <w:r>
        <w:rPr>
          <w:rFonts w:ascii="Traditional Arabic" w:cs="Traditional Arabic" w:hAnsi="Traditional Arabic" w:eastAsia="Traditional Arabic" w:hint="cs"/>
          <w:kern w:val="0"/>
          <w:sz w:val="32"/>
          <w:szCs w:val="32"/>
          <w:rtl w:val="1"/>
          <w:lang w:val="ar-SA" w:bidi="ar-SA"/>
        </w:rPr>
        <w:t xml:space="preserve">متّى </w:t>
      </w:r>
      <w:r>
        <w:rPr>
          <w:rFonts w:ascii="Traditional Arabic" w:cs="Traditional Arabic" w:hAnsi="Traditional Arabic" w:eastAsia="Traditional Arabic"/>
          <w:kern w:val="0"/>
          <w:sz w:val="32"/>
          <w:szCs w:val="32"/>
          <w:rtl w:val="1"/>
          <w:lang w:val="ar-SA" w:bidi="ar-SA"/>
        </w:rPr>
        <w:t>15: 28)</w:t>
      </w:r>
      <w:r>
        <w:rPr>
          <w:rFonts w:ascii="Traditional Arabic" w:cs="Traditional Arabic" w:hAnsi="Traditional Arabic" w:eastAsia="Traditional Arabic"/>
          <w:kern w:val="0"/>
          <w:sz w:val="40"/>
          <w:szCs w:val="40"/>
          <w:rtl w:val="1"/>
          <w:lang w:val="ar-SA" w:bidi="ar-SA"/>
        </w:rPr>
        <w:t xml:space="preserve">. </w:t>
      </w:r>
      <w:r>
        <w:rPr>
          <w:rFonts w:ascii="Traditional Arabic" w:cs="Traditional Arabic" w:hAnsi="Traditional Arabic" w:eastAsia="Traditional Arabic" w:hint="cs"/>
          <w:outline w:val="0"/>
          <w:color w:val="000000"/>
          <w:sz w:val="40"/>
          <w:szCs w:val="40"/>
          <w:u w:color="000000"/>
          <w:rtl w:val="1"/>
          <w:lang w:val="ar-SA" w:bidi="ar-SA"/>
          <w14:textFill>
            <w14:solidFill>
              <w14:srgbClr w14:val="000000"/>
            </w14:solidFill>
          </w14:textFill>
        </w:rPr>
        <w:t>بهذه الكلمة توّج يسوع مسيرة المرأة الكنعانية التي لم تكن من شعب إسرائيل، لكنها وصلت إلى يسوع بقلبٍ لم يعرف التراجع</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hint="cs"/>
          <w:outline w:val="0"/>
          <w:color w:val="000000"/>
          <w:sz w:val="40"/>
          <w:szCs w:val="40"/>
          <w:u w:color="000000"/>
          <w:rtl w:val="1"/>
          <w:lang w:val="ar-SA" w:bidi="ar-SA"/>
          <w14:textFill>
            <w14:solidFill>
              <w14:srgbClr w14:val="000000"/>
            </w14:solidFill>
          </w14:textFill>
        </w:rPr>
        <w:t>ودخلت إلى رحمته من باب الإيمان الثابت على رجاء لا يخيّب</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خرج يسوع إلى نواحي صور وصيدا، فخرجت إليه امرأة كنعانية تحمل ألم ابنتها وتصرخ</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ارحمني يا سيّد، يا ابن داود، ابنتي معذبة جدًا</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22)</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كانت تستغيث من أجل ابنتها، وكأن وجع الاثنتين صار وجعًا واحدًا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لكن هذه المناداة وقعت في قلب يسوع، لأنّها نادته باسمه الكتابي</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4.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لم يمنعها اختلاف الانتماء، ولا نظرة الناس، ولا شعورها بأنها غريبة، من أن تتقدم إليه</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كانت ابنتها تتألم، والأم حين يتألم ابنها لا تعود تحسب المسافات ولا الحواجز، بل تذهب إلى حيث تجد الرجاء</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أمّا يسوع فتفاعل داخليًّا، وأراد امتحان إيمانها، وكأنه يريد إظهاره للجمع المرافق وللتلاميذ أنفسهم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فامتحن إيمانها بثلاث</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كانت المحنة الأولى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محنة الصمت وعدم الاكتراث</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كان الصمت امتحانًا قاسيًا، لأن الإنسان يتعب حين يصلي ولا يسمع جوابًا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لكنها لم تعتبر صمته رفضًا، ولم تسمح لانتظارها أن يتحول إلى يأس</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فصمت الله لا يعني أنه غائب، وتأخر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استجاباته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لا يعني أن الصلاة ضاعت، بل يعلّم الإنسان أن يثق به لا بعطاياه وحدها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ثم جاءت المحنة الثانية،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محنة الإهمال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وشيء من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التمييز العنصري</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تضايق التلاميذ من صراخها، وطلبوا إلى يسوع أن يصرفها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سمعوا الصراخ، ولم يسمعوا الوجع الكامن وراءه</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فقال يسوع</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لم أُرسل إلا إلى الخراف الضالة من بيت إسرائيل</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24)</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وبدا لها أن الرسالة لا تشملها، وأنها تقف خارج الجماعة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لكنها لم تتراجع، بل اقتربت أكثر، وسجدت أمامه، وقالت ببساطة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يا رب،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ساعدني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25)</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ثم جاءت المحنة الثالثة،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محنة الإساءة الكبيرة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قال لها يسوع</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لا يحسن أن يؤخذ خبز البنين ويُطرح لجراء الكلاب</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26)</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في ظاهر العبارة قسوة وإهانة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كان بإمكانها أن تغضب وترحل، أو أن تجيب الإساءة بإساءة، لكنها بتواضع تمسّكت بالرب أكثر مما توقفت عند الكلام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أخذت الصورة نفسها، وفتحت منها نافذةً للرجاء، وقالت</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نعم يا رب، وجراء الكلاب أيضًا تأكل من الفتات الذي يسقط من مائدة أربابها</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27)</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قالت له بمعنى إيمانها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يكفيني فتات من رحمتك، لأن ما يبدو فتاتًا منك أعظم من موائد العالم كلها؛ وقليلٌ من نعمتك قادر على شفاء ابنتي وتبديل حياتنا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لقد كان إيمانها احترامًا عميقًا وثقةً كاملة وتواضعًا</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وحين ظهر إيمانها أمام الجميع، انتهى الامتحان، وقال لها يسوع</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يا امرأة، عظيم إيمانكِ، ليكن لكِ كما تريدين</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28)</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وانتهى الإنجيل بالخبر الذي انتظرته</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فشُفيت ابنتها من تلك الساعة</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 xml:space="preserve">متّى </w:t>
      </w:r>
      <w:r>
        <w:rPr>
          <w:rFonts w:ascii="Traditional Arabic" w:cs="Traditional Arabic" w:hAnsi="Traditional Arabic" w:eastAsia="Traditional Arabic"/>
          <w:outline w:val="0"/>
          <w:color w:val="000000"/>
          <w:sz w:val="32"/>
          <w:szCs w:val="32"/>
          <w:u w:color="000000"/>
          <w:rtl w:val="1"/>
          <w:lang w:val="ar-SA" w:bidi="ar-SA"/>
          <w14:textFill>
            <w14:solidFill>
              <w14:srgbClr w14:val="000000"/>
            </w14:solidFill>
          </w14:textFill>
        </w:rPr>
        <w:t>15: 28)</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اجتازت امتحان الصمت، فلم تتوقف عن الصلاة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واجتازت امتحان الإهمال، فاقتربت أكثر</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واجتازت امتحان الإساءة، فحوّلت الجرح إلى رجاء</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sz w:val="40"/>
          <w:szCs w:val="40"/>
          <w:rtl w:val="1"/>
          <w:lang w:val="ar-SA" w:bidi="ar-SA"/>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لقد أظهرت أن القرب من الله لا يصنعه الانتماء الخارجي وحده، بل القلب الذي يؤمن ويثبت ولا يستسلم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b w:val="1"/>
          <w:bCs w:val="1"/>
          <w:sz w:val="40"/>
          <w:szCs w:val="40"/>
          <w:rtl w:val="1"/>
          <w:lang w:val="ar-SA" w:bidi="ar-SA"/>
        </w:rPr>
      </w:pPr>
      <w:r>
        <w:rPr>
          <w:rFonts w:ascii="Traditional Arabic" w:cs="Traditional Arabic" w:hAnsi="Traditional Arabic" w:eastAsia="Traditional Arabic"/>
          <w:b w:val="1"/>
          <w:bCs w:val="1"/>
          <w:sz w:val="40"/>
          <w:szCs w:val="40"/>
          <w:rtl w:val="1"/>
          <w:lang w:val="ar-SA" w:bidi="ar-SA"/>
        </w:rPr>
        <w:t xml:space="preserve">5.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ما أحوج لبنان إلى مثل هذا الإيمان</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إيمان لا ينكسر أمام الصمت، ولا يتراجع أمام الأبواب المغلقة، ولا يسمح للألم أن يتحول إلى استسلام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r>
        <w:rPr>
          <w:rFonts w:ascii="Traditional Arabic" w:cs="Traditional Arabic" w:hAnsi="Traditional Arabic" w:eastAsia="Traditional Arabic"/>
          <w:b w:val="1"/>
          <w:bCs w:val="1"/>
          <w:sz w:val="40"/>
          <w:szCs w:val="40"/>
          <w:rtl w:val="1"/>
          <w:lang w:val="ar-SA" w:bidi="ar-SA"/>
        </w:rPr>
        <w:t xml:space="preserve">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إن وطننا يشبه</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في كثير من معاناته تلك الأم الكنعانية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يحمل أبناءً يتألمون، ويرفع صوته طالبًا الرحمة والعدالة والحق، طال انتظارها، وتعددت أمامه الحواجز، لكن عليه أن يبقى ثابتًا في مطالبته بالحياة والسيادة والكرامة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في شأننا الوطني</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نصلّي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ل</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كي تُثمر المفاوضات والمساعي الجارية سلامًا عادلًا وثابتًا، يحفظ لبنان، ويوقف الاعتداءات، ويؤدي إلى الانسحاب من أرضنا، وعودة النازحين إلى قراهم، وانطلاق ورشة إعادة الإعمار</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ونجدد وقوفنا إلى جانب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الجيش اللبناني</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مؤسسة الوطن الجامعة، مطالبين بتعزيزه وتسليحه وإنصاف عسكريّيه، فتكون للدولة وحدها سلطة القانون وقرار الحرب والسّلم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ونقف إلى جانب الفقير والمريض،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والموظفين المتقاعدين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والعسكري</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ين</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وإلى جانب رب العائلة الذي يعجز عن تأمين قوت بيته، والشاب الذي يرى مستقبله يهاجر من أمام عينيه</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sz w:val="40"/>
          <w:szCs w:val="40"/>
          <w:rtl w:val="1"/>
          <w:lang w:val="ar-SA" w:bidi="ar-SA"/>
        </w:rPr>
      </w:pP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ونطالب بإصلاح</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حقيقي لا بالشعارات؛ وبقضاء مستقل، وإدارة شفافة، ومحاسبة لا تستثني أحدًا، وبكشف الحقيقة كاملةً في جريمة انفجار مرفأ بيروت</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فلا قيامة لوطن تُدفن فيه الحقيقة، ولا مصالحة من دون عدالة، ولا دولة من دون محاسبة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ولنرفع معًا صرخة تلك الأم، لا صرخة يأس بل صرخة إيمان</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يا رب، ارحم لبنان، وليكن فينا من إيمان</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المرأة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ما يجعلنا نصبر، ونطالب من دون عنف، ونثبت في الحق، ونرفض اليأس، ونؤمن بأن لبنان قادر على الشفاء يوم تلتقي الصلاة بالعمل، والإيمان بالمسؤولية، والرحمة بالعدالة</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6. </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إنّنا نثمّن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قرار وقف التنفيذ</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xml:space="preserve"> الصادر عن مجلس شورى الدولة جوابًا على الطعن الذي تقدّم به أحد نواب الأمّة والذي ثبّت ملكية مشاعات متصرفية جبل لبنان لأصحابها، كالأهالي وعموم أهل القرى والبلدات أو البلديات الكبرى أو الصغرى، الذين تناقلوها من قرون، وهذه خطوة في الاتجاه الصحيح لطمأنة عموم الناس وتعزيز تعلّقهم بأرضهم</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 xml:space="preserve">7. </w:t>
      </w:r>
      <w:r>
        <w:rPr>
          <w:rFonts w:ascii="Traditional Arabic" w:cs="Traditional Arabic" w:hAnsi="Traditional Arabic" w:eastAsia="Traditional Arabic"/>
          <w:b w:val="1"/>
          <w:bCs w:val="1"/>
          <w:outline w:val="0"/>
          <w:color w:val="000000"/>
          <w:sz w:val="40"/>
          <w:szCs w:val="40"/>
          <w:u w:color="000000"/>
          <w:rtl w:val="1"/>
          <w:lang w:val="ar-SA" w:bidi="ar-SA"/>
          <w14:textFill>
            <w14:solidFill>
              <w14:srgbClr w14:val="000000"/>
            </w14:solidFill>
          </w14:textFill>
        </w:rPr>
        <w:t>لنصلِّ</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أيها الإخوة والأخوات الأحبّاء، كي يعطينا الله إيمان المرأة الكنعانية، فنرفع له التمجيد والشكر، الآن وإلى الأبد، آمين</w:t>
      </w: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w:t>
      </w:r>
    </w:p>
    <w:p>
      <w:pPr>
        <w:pStyle w:val="Normal (Web)"/>
        <w:bidi w:val="1"/>
        <w:spacing w:before="0" w:after="0"/>
        <w:ind w:left="0" w:right="0" w:firstLine="720"/>
        <w:jc w:val="both"/>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pPr>
    </w:p>
    <w:p>
      <w:pPr>
        <w:pStyle w:val="Normal (Web)"/>
        <w:bidi w:val="1"/>
        <w:spacing w:before="0" w:after="0"/>
        <w:ind w:left="0" w:right="0" w:firstLine="720"/>
        <w:jc w:val="center"/>
        <w:rPr>
          <w:rtl w:val="1"/>
        </w:rPr>
      </w:pPr>
      <w:r>
        <w:rPr>
          <w:rFonts w:ascii="Traditional Arabic" w:cs="Traditional Arabic" w:hAnsi="Traditional Arabic" w:eastAsia="Traditional Arabic"/>
          <w:outline w:val="0"/>
          <w:color w:val="000000"/>
          <w:sz w:val="40"/>
          <w:szCs w:val="40"/>
          <w:u w:color="000000"/>
          <w:rtl w:val="1"/>
          <w:lang w:val="ar-SA" w:bidi="ar-SA"/>
          <w14:textFill>
            <w14:solidFill>
              <w14:srgbClr w14:val="000000"/>
            </w14:solidFill>
          </w14:textFill>
        </w:rPr>
        <w:t>*** *** ***</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raditional Arabic">
    <w:charset w:val="00"/>
    <w:family w:val="roman"/>
    <w:pitch w:val="default"/>
  </w:font>
  <w:font w:name="Simplified Arabic">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